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FA7C64">
        <w:rPr>
          <w:rFonts w:ascii="Times New Roman" w:eastAsia="Times New Roman" w:hAnsi="Times New Roman" w:cs="Times New Roman"/>
          <w:b/>
          <w:lang w:eastAsia="ar-SA"/>
        </w:rPr>
        <w:t>3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сяти процентов) от общей Цены Работ по Договору.</w:t>
      </w:r>
    </w:p>
    <w:p w:rsidR="001476A2" w:rsidRPr="001476A2" w:rsidRDefault="001476A2" w:rsidP="00340F8F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61278F">
        <w:trPr>
          <w:trHeight w:val="673"/>
        </w:trPr>
        <w:tc>
          <w:tcPr>
            <w:tcW w:w="10495" w:type="dxa"/>
            <w:hideMark/>
          </w:tcPr>
          <w:tbl>
            <w:tblPr>
              <w:tblW w:w="9540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</w:tblGrid>
            <w:tr w:rsidR="0061278F" w:rsidRPr="00C86128" w:rsidTr="0061278F">
              <w:tc>
                <w:tcPr>
                  <w:tcW w:w="5143" w:type="dxa"/>
                </w:tcPr>
                <w:p w:rsidR="0061278F" w:rsidRPr="00C86128" w:rsidRDefault="0061278F" w:rsidP="0061278F">
                  <w:pPr>
                    <w:rPr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61278F" w:rsidRPr="00C86128" w:rsidRDefault="0061278F" w:rsidP="0061278F">
                  <w:pPr>
                    <w:rPr>
                      <w:b/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>Субподрядчик:</w:t>
                  </w:r>
                </w:p>
              </w:tc>
            </w:tr>
            <w:tr w:rsidR="0061278F" w:rsidRPr="00C86128" w:rsidTr="0061278F"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Первый заместитель генерального директора 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ООО «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БЭК-ремонт</w:t>
                  </w:r>
                  <w:proofErr w:type="spellEnd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»</w:t>
                  </w:r>
                </w:p>
                <w:p w:rsidR="0061278F" w:rsidRPr="00C86128" w:rsidRDefault="0061278F" w:rsidP="0061278F">
                  <w:pPr>
                    <w:pStyle w:val="ae"/>
                    <w:tabs>
                      <w:tab w:val="left" w:pos="0"/>
                    </w:tabs>
                    <w:ind w:firstLine="567"/>
                    <w:contextualSpacing/>
                    <w:jc w:val="both"/>
                    <w:rPr>
                      <w:sz w:val="21"/>
                      <w:szCs w:val="21"/>
                      <w:lang w:eastAsia="en-US"/>
                    </w:rPr>
                  </w:pPr>
                </w:p>
              </w:tc>
              <w:tc>
                <w:tcPr>
                  <w:tcW w:w="4397" w:type="dxa"/>
                </w:tcPr>
                <w:p w:rsidR="0061278F" w:rsidRPr="001B32E4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1"/>
                      <w:szCs w:val="21"/>
                    </w:rPr>
                  </w:pPr>
                  <w:r w:rsidRPr="001B32E4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1"/>
                      <w:szCs w:val="21"/>
                    </w:rPr>
                    <w:t>Генеральный директор ООО «ТЭС»</w:t>
                  </w:r>
                </w:p>
              </w:tc>
            </w:tr>
            <w:tr w:rsidR="0061278F" w:rsidRPr="00C86128" w:rsidTr="0061278F">
              <w:trPr>
                <w:trHeight w:val="291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_______________ 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61278F" w:rsidRPr="001B32E4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1"/>
                      <w:szCs w:val="21"/>
                    </w:rPr>
                  </w:pPr>
                  <w:r w:rsidRPr="001B32E4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1"/>
                      <w:szCs w:val="21"/>
                    </w:rPr>
                    <w:t>_______________</w:t>
                  </w:r>
                  <w:proofErr w:type="spellStart"/>
                  <w:r w:rsidRPr="001B32E4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1"/>
                      <w:szCs w:val="21"/>
                    </w:rPr>
                    <w:t>К.А.Попова</w:t>
                  </w:r>
                  <w:proofErr w:type="spellEnd"/>
                </w:p>
                <w:p w:rsidR="0061278F" w:rsidRPr="001B32E4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323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«_____»_______________ 2022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61278F" w:rsidRPr="001B32E4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1"/>
                      <w:szCs w:val="21"/>
                    </w:rPr>
                  </w:pPr>
                  <w:r w:rsidRPr="001B32E4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1"/>
                      <w:szCs w:val="21"/>
                    </w:rPr>
                    <w:t xml:space="preserve"> «_____»______________2022 г.</w:t>
                  </w:r>
                </w:p>
              </w:tc>
            </w:tr>
          </w:tbl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6D" w:rsidRDefault="00B60A6D" w:rsidP="001476A2">
      <w:pPr>
        <w:spacing w:after="0" w:line="240" w:lineRule="auto"/>
      </w:pPr>
      <w:r>
        <w:separator/>
      </w:r>
    </w:p>
  </w:endnote>
  <w:endnote w:type="continuationSeparator" w:id="0">
    <w:p w:rsidR="00B60A6D" w:rsidRDefault="00B60A6D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2E4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6D" w:rsidRDefault="00B60A6D" w:rsidP="001476A2">
      <w:pPr>
        <w:spacing w:after="0" w:line="240" w:lineRule="auto"/>
      </w:pPr>
      <w:r>
        <w:separator/>
      </w:r>
    </w:p>
  </w:footnote>
  <w:footnote w:type="continuationSeparator" w:id="0">
    <w:p w:rsidR="00B60A6D" w:rsidRDefault="00B60A6D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A4554A" w:rsidRDefault="00540EFC" w:rsidP="00A4554A">
    <w:pPr>
      <w:pStyle w:val="ac"/>
      <w:tabs>
        <w:tab w:val="left" w:pos="686"/>
        <w:tab w:val="left" w:pos="6237"/>
      </w:tabs>
      <w:ind w:firstLine="567"/>
      <w:rPr>
        <w:b w:val="0"/>
        <w:i/>
        <w:sz w:val="20"/>
        <w:szCs w:val="20"/>
      </w:rPr>
    </w:pPr>
    <w:r w:rsidRPr="00A4554A">
      <w:rPr>
        <w:b w:val="0"/>
        <w:bCs w:val="0"/>
        <w:sz w:val="20"/>
        <w:szCs w:val="20"/>
      </w:rPr>
      <w:t xml:space="preserve">Договор </w:t>
    </w:r>
    <w:r w:rsidR="00A4554A">
      <w:rPr>
        <w:b w:val="0"/>
        <w:bCs w:val="0"/>
        <w:sz w:val="20"/>
        <w:szCs w:val="20"/>
      </w:rPr>
      <w:t>суб</w:t>
    </w:r>
    <w:r w:rsidR="006D365F" w:rsidRPr="00A4554A">
      <w:rPr>
        <w:b w:val="0"/>
        <w:bCs w:val="0"/>
        <w:sz w:val="20"/>
        <w:szCs w:val="20"/>
      </w:rPr>
      <w:t>подряда №</w:t>
    </w:r>
    <w:r w:rsidR="001B32E4">
      <w:rPr>
        <w:b w:val="0"/>
        <w:bCs w:val="0"/>
        <w:sz w:val="20"/>
        <w:szCs w:val="20"/>
      </w:rPr>
      <w:t>6</w:t>
    </w:r>
    <w:r w:rsidR="00A4554A" w:rsidRPr="00A4554A">
      <w:rPr>
        <w:b w:val="0"/>
        <w:bCs w:val="0"/>
        <w:sz w:val="20"/>
        <w:szCs w:val="20"/>
      </w:rPr>
      <w:t xml:space="preserve">/2022-КЦ/ЦЦР </w:t>
    </w:r>
    <w:r w:rsidR="001476A2" w:rsidRPr="00A4554A">
      <w:rPr>
        <w:b w:val="0"/>
        <w:i/>
        <w:sz w:val="20"/>
        <w:szCs w:val="20"/>
      </w:rPr>
      <w:t xml:space="preserve">от </w:t>
    </w:r>
    <w:r w:rsidR="001D758A" w:rsidRPr="00A4554A">
      <w:rPr>
        <w:b w:val="0"/>
        <w:sz w:val="20"/>
        <w:szCs w:val="20"/>
      </w:rPr>
      <w:t>«____» ______________ 202</w:t>
    </w:r>
    <w:r w:rsidR="00A4554A" w:rsidRPr="00A4554A">
      <w:rPr>
        <w:b w:val="0"/>
        <w:sz w:val="20"/>
        <w:szCs w:val="20"/>
      </w:rPr>
      <w:t>2</w:t>
    </w:r>
    <w:r w:rsidR="001476A2" w:rsidRPr="00A4554A">
      <w:rPr>
        <w:b w:val="0"/>
        <w:sz w:val="20"/>
        <w:szCs w:val="20"/>
      </w:rPr>
      <w:t> </w:t>
    </w:r>
    <w:r w:rsidR="001476A2" w:rsidRPr="00A4554A">
      <w:rPr>
        <w:b w:val="0"/>
        <w:i/>
        <w:sz w:val="20"/>
        <w:szCs w:val="20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94EBD"/>
    <w:rsid w:val="000F5841"/>
    <w:rsid w:val="001178C2"/>
    <w:rsid w:val="00125055"/>
    <w:rsid w:val="00137961"/>
    <w:rsid w:val="001476A2"/>
    <w:rsid w:val="00154E2C"/>
    <w:rsid w:val="0019445A"/>
    <w:rsid w:val="001B32E4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321241"/>
    <w:rsid w:val="00340F8F"/>
    <w:rsid w:val="00380D01"/>
    <w:rsid w:val="004118BC"/>
    <w:rsid w:val="00455BF8"/>
    <w:rsid w:val="00505DB7"/>
    <w:rsid w:val="0052016D"/>
    <w:rsid w:val="00540EFC"/>
    <w:rsid w:val="0055403C"/>
    <w:rsid w:val="005E55F0"/>
    <w:rsid w:val="0061278F"/>
    <w:rsid w:val="00614FDF"/>
    <w:rsid w:val="006D365F"/>
    <w:rsid w:val="007134B6"/>
    <w:rsid w:val="0071602E"/>
    <w:rsid w:val="0076307E"/>
    <w:rsid w:val="008000A0"/>
    <w:rsid w:val="00854BC0"/>
    <w:rsid w:val="00874EA1"/>
    <w:rsid w:val="008B47B3"/>
    <w:rsid w:val="00931F75"/>
    <w:rsid w:val="0094393D"/>
    <w:rsid w:val="00A064F1"/>
    <w:rsid w:val="00A14CA3"/>
    <w:rsid w:val="00A4554A"/>
    <w:rsid w:val="00A73D50"/>
    <w:rsid w:val="00AF1590"/>
    <w:rsid w:val="00B347D7"/>
    <w:rsid w:val="00B43A56"/>
    <w:rsid w:val="00B60A6D"/>
    <w:rsid w:val="00BC0EBA"/>
    <w:rsid w:val="00BE7F46"/>
    <w:rsid w:val="00BF223A"/>
    <w:rsid w:val="00C04FCF"/>
    <w:rsid w:val="00C9775D"/>
    <w:rsid w:val="00CE5882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B1C60"/>
    <w:rsid w:val="00EE2AD3"/>
    <w:rsid w:val="00F0454B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BE22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customStyle="1" w:styleId="ac">
    <w:name w:val="Название"/>
    <w:basedOn w:val="a"/>
    <w:link w:val="ad"/>
    <w:uiPriority w:val="10"/>
    <w:qFormat/>
    <w:rsid w:val="00A455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rsid w:val="00A45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612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612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61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2610</Words>
  <Characters>14882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57</cp:revision>
  <cp:lastPrinted>2021-03-26T05:50:00Z</cp:lastPrinted>
  <dcterms:created xsi:type="dcterms:W3CDTF">2019-04-11T04:31:00Z</dcterms:created>
  <dcterms:modified xsi:type="dcterms:W3CDTF">2022-09-06T07:13:00Z</dcterms:modified>
</cp:coreProperties>
</file>